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2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9540"/>
      </w:tblGrid>
      <w:tr w:rsidR="008C5161" w14:paraId="148D1AAC" w14:textId="77777777" w:rsidTr="00BF39E4">
        <w:tc>
          <w:tcPr>
            <w:tcW w:w="1080" w:type="dxa"/>
          </w:tcPr>
          <w:p w14:paraId="67F47447" w14:textId="77777777" w:rsidR="008C5161" w:rsidRDefault="008C5161" w:rsidP="00BF39E4">
            <w:pPr>
              <w:pStyle w:val="Title"/>
              <w:rPr>
                <w:u w:val="single"/>
              </w:rPr>
            </w:pPr>
            <w:r w:rsidRPr="00D30FCC">
              <w:rPr>
                <w:sz w:val="24"/>
              </w:rPr>
              <w:fldChar w:fldCharType="begin">
                <w:ffData>
                  <w:name w:val="Check1"/>
                  <w:enabled/>
                  <w:calcOnExit w:val="0"/>
                  <w:checkBox>
                    <w:sizeAuto/>
                    <w:default w:val="0"/>
                  </w:checkBox>
                </w:ffData>
              </w:fldChar>
            </w:r>
            <w:bookmarkStart w:id="0" w:name="Check1"/>
            <w:r w:rsidRPr="00D30FCC">
              <w:rPr>
                <w:sz w:val="24"/>
              </w:rPr>
              <w:instrText xml:space="preserve"> FORMCHECKBOX </w:instrText>
            </w:r>
            <w:r w:rsidRPr="00D30FCC">
              <w:rPr>
                <w:sz w:val="24"/>
              </w:rPr>
            </w:r>
            <w:r w:rsidRPr="00D30FCC">
              <w:rPr>
                <w:sz w:val="24"/>
              </w:rPr>
              <w:fldChar w:fldCharType="end"/>
            </w:r>
            <w:bookmarkEnd w:id="0"/>
          </w:p>
        </w:tc>
        <w:tc>
          <w:tcPr>
            <w:tcW w:w="9540" w:type="dxa"/>
          </w:tcPr>
          <w:p w14:paraId="281DACDF" w14:textId="77777777" w:rsidR="008C5161" w:rsidRPr="00D30FCC" w:rsidRDefault="008C5161" w:rsidP="00BF39E4">
            <w:pPr>
              <w:pStyle w:val="Title"/>
              <w:numPr>
                <w:ilvl w:val="0"/>
                <w:numId w:val="2"/>
              </w:numPr>
              <w:jc w:val="left"/>
              <w:rPr>
                <w:sz w:val="24"/>
              </w:rPr>
            </w:pPr>
            <w:r w:rsidRPr="00D30FCC">
              <w:rPr>
                <w:sz w:val="24"/>
              </w:rPr>
              <w:t>Kinship care cases are similar to concurrent placements, in that we are working</w:t>
            </w:r>
            <w:r>
              <w:rPr>
                <w:sz w:val="24"/>
              </w:rPr>
              <w:t xml:space="preserve"> </w:t>
            </w:r>
            <w:r w:rsidRPr="00D30FCC">
              <w:rPr>
                <w:sz w:val="24"/>
              </w:rPr>
              <w:t>with the parents on reunification, while also planning for permanent custody</w:t>
            </w:r>
            <w:r>
              <w:rPr>
                <w:sz w:val="24"/>
              </w:rPr>
              <w:t xml:space="preserve"> </w:t>
            </w:r>
            <w:r w:rsidRPr="00D30FCC">
              <w:rPr>
                <w:sz w:val="24"/>
              </w:rPr>
              <w:t>with the relatives should this be needed after twelve (12) months.</w:t>
            </w:r>
          </w:p>
          <w:p w14:paraId="157DC221" w14:textId="77777777" w:rsidR="008C5161" w:rsidRDefault="008C5161" w:rsidP="00BF39E4">
            <w:pPr>
              <w:pStyle w:val="Title"/>
              <w:rPr>
                <w:u w:val="single"/>
              </w:rPr>
            </w:pPr>
          </w:p>
        </w:tc>
      </w:tr>
      <w:tr w:rsidR="008C5161" w14:paraId="595E083C" w14:textId="77777777" w:rsidTr="00BF39E4">
        <w:tc>
          <w:tcPr>
            <w:tcW w:w="1080" w:type="dxa"/>
          </w:tcPr>
          <w:p w14:paraId="0444F22F" w14:textId="77777777" w:rsidR="008C5161" w:rsidRDefault="008C5161" w:rsidP="00BF39E4">
            <w:pPr>
              <w:pStyle w:val="Title"/>
              <w:rPr>
                <w:u w:val="single"/>
              </w:rPr>
            </w:pPr>
            <w:r w:rsidRPr="00D30FCC">
              <w:rPr>
                <w:sz w:val="24"/>
              </w:rPr>
              <w:fldChar w:fldCharType="begin">
                <w:ffData>
                  <w:name w:val="Check2"/>
                  <w:enabled/>
                  <w:calcOnExit w:val="0"/>
                  <w:checkBox>
                    <w:sizeAuto/>
                    <w:default w:val="0"/>
                  </w:checkBox>
                </w:ffData>
              </w:fldChar>
            </w:r>
            <w:r w:rsidRPr="00D30FCC">
              <w:rPr>
                <w:sz w:val="24"/>
              </w:rPr>
              <w:instrText xml:space="preserve"> FORMCHECKBOX </w:instrText>
            </w:r>
            <w:r w:rsidRPr="00D30FCC">
              <w:rPr>
                <w:sz w:val="24"/>
              </w:rPr>
            </w:r>
            <w:r w:rsidRPr="00D30FCC">
              <w:rPr>
                <w:sz w:val="24"/>
              </w:rPr>
              <w:fldChar w:fldCharType="end"/>
            </w:r>
          </w:p>
        </w:tc>
        <w:tc>
          <w:tcPr>
            <w:tcW w:w="9540" w:type="dxa"/>
          </w:tcPr>
          <w:p w14:paraId="640BA34E" w14:textId="77777777" w:rsidR="008C5161" w:rsidRPr="00D30FCC" w:rsidRDefault="008C5161" w:rsidP="00BF39E4">
            <w:pPr>
              <w:pStyle w:val="Title"/>
              <w:numPr>
                <w:ilvl w:val="0"/>
                <w:numId w:val="2"/>
              </w:numPr>
              <w:jc w:val="left"/>
              <w:rPr>
                <w:sz w:val="24"/>
              </w:rPr>
            </w:pPr>
            <w:r w:rsidRPr="00D30FCC">
              <w:rPr>
                <w:sz w:val="24"/>
              </w:rPr>
              <w:t>If a child is already in foster care, and a potential relative placement becomes</w:t>
            </w:r>
            <w:r>
              <w:rPr>
                <w:sz w:val="24"/>
              </w:rPr>
              <w:t xml:space="preserve"> </w:t>
            </w:r>
            <w:r w:rsidRPr="00D30FCC">
              <w:rPr>
                <w:sz w:val="24"/>
              </w:rPr>
              <w:t>available, kinship care can be considered for that family.</w:t>
            </w:r>
          </w:p>
          <w:p w14:paraId="2D84C3F3" w14:textId="77777777" w:rsidR="008C5161" w:rsidRDefault="008C5161" w:rsidP="00BF39E4">
            <w:pPr>
              <w:pStyle w:val="Title"/>
              <w:rPr>
                <w:u w:val="single"/>
              </w:rPr>
            </w:pPr>
          </w:p>
        </w:tc>
      </w:tr>
      <w:tr w:rsidR="008C5161" w14:paraId="2F7D8334" w14:textId="77777777" w:rsidTr="00BF39E4">
        <w:tc>
          <w:tcPr>
            <w:tcW w:w="1080" w:type="dxa"/>
          </w:tcPr>
          <w:p w14:paraId="076EC02A" w14:textId="77777777" w:rsidR="008C5161" w:rsidRDefault="008C5161" w:rsidP="00BF39E4">
            <w:pPr>
              <w:pStyle w:val="Title"/>
              <w:rPr>
                <w:u w:val="single"/>
              </w:rPr>
            </w:pPr>
            <w:r w:rsidRPr="00D30FCC">
              <w:rPr>
                <w:sz w:val="24"/>
              </w:rPr>
              <w:fldChar w:fldCharType="begin">
                <w:ffData>
                  <w:name w:val="Check2"/>
                  <w:enabled/>
                  <w:calcOnExit w:val="0"/>
                  <w:checkBox>
                    <w:sizeAuto/>
                    <w:default w:val="0"/>
                  </w:checkBox>
                </w:ffData>
              </w:fldChar>
            </w:r>
            <w:r w:rsidRPr="00D30FCC">
              <w:rPr>
                <w:sz w:val="24"/>
              </w:rPr>
              <w:instrText xml:space="preserve"> FORMCHECKBOX </w:instrText>
            </w:r>
            <w:r w:rsidRPr="00D30FCC">
              <w:rPr>
                <w:sz w:val="24"/>
              </w:rPr>
            </w:r>
            <w:r w:rsidRPr="00D30FCC">
              <w:rPr>
                <w:sz w:val="24"/>
              </w:rPr>
              <w:fldChar w:fldCharType="end"/>
            </w:r>
          </w:p>
        </w:tc>
        <w:tc>
          <w:tcPr>
            <w:tcW w:w="9540" w:type="dxa"/>
          </w:tcPr>
          <w:p w14:paraId="3ECEC0FB" w14:textId="77777777" w:rsidR="008C5161" w:rsidRPr="00D30FCC" w:rsidRDefault="008C5161" w:rsidP="00BF39E4">
            <w:pPr>
              <w:pStyle w:val="Title"/>
              <w:numPr>
                <w:ilvl w:val="0"/>
                <w:numId w:val="2"/>
              </w:numPr>
              <w:jc w:val="left"/>
              <w:rPr>
                <w:sz w:val="24"/>
              </w:rPr>
            </w:pPr>
            <w:r w:rsidRPr="00D30FCC">
              <w:rPr>
                <w:sz w:val="24"/>
              </w:rPr>
              <w:t>If the relative lives in a different county, an onsite worker can be requested to provide services.   Case responsibility remains where the parent/caretaker, from whom the children were removed, resides.</w:t>
            </w:r>
          </w:p>
          <w:p w14:paraId="1CCE4017" w14:textId="77777777" w:rsidR="008C5161" w:rsidRDefault="008C5161" w:rsidP="00BF39E4">
            <w:pPr>
              <w:pStyle w:val="Title"/>
              <w:rPr>
                <w:u w:val="single"/>
              </w:rPr>
            </w:pPr>
          </w:p>
        </w:tc>
      </w:tr>
      <w:tr w:rsidR="008C5161" w14:paraId="1D19CD1D" w14:textId="77777777" w:rsidTr="00BF39E4">
        <w:tc>
          <w:tcPr>
            <w:tcW w:w="1080" w:type="dxa"/>
          </w:tcPr>
          <w:p w14:paraId="7D1F3B5A" w14:textId="77777777" w:rsidR="008C5161" w:rsidRDefault="008C5161" w:rsidP="00BF39E4">
            <w:pPr>
              <w:pStyle w:val="Title"/>
              <w:rPr>
                <w:u w:val="single"/>
              </w:rPr>
            </w:pPr>
            <w:r w:rsidRPr="00D30FCC">
              <w:rPr>
                <w:sz w:val="24"/>
              </w:rPr>
              <w:fldChar w:fldCharType="begin">
                <w:ffData>
                  <w:name w:val="Check2"/>
                  <w:enabled/>
                  <w:calcOnExit w:val="0"/>
                  <w:checkBox>
                    <w:sizeAuto/>
                    <w:default w:val="0"/>
                  </w:checkBox>
                </w:ffData>
              </w:fldChar>
            </w:r>
            <w:r w:rsidRPr="00D30FCC">
              <w:rPr>
                <w:sz w:val="24"/>
              </w:rPr>
              <w:instrText xml:space="preserve"> FORMCHECKBOX </w:instrText>
            </w:r>
            <w:r w:rsidRPr="00D30FCC">
              <w:rPr>
                <w:sz w:val="24"/>
              </w:rPr>
            </w:r>
            <w:r w:rsidRPr="00D30FCC">
              <w:rPr>
                <w:sz w:val="24"/>
              </w:rPr>
              <w:fldChar w:fldCharType="end"/>
            </w:r>
          </w:p>
        </w:tc>
        <w:tc>
          <w:tcPr>
            <w:tcW w:w="9540" w:type="dxa"/>
          </w:tcPr>
          <w:p w14:paraId="3234E741" w14:textId="77777777" w:rsidR="008C5161" w:rsidRPr="00D30FCC" w:rsidRDefault="008C5161" w:rsidP="00BF39E4">
            <w:pPr>
              <w:pStyle w:val="Title"/>
              <w:numPr>
                <w:ilvl w:val="0"/>
                <w:numId w:val="2"/>
              </w:numPr>
              <w:jc w:val="left"/>
              <w:rPr>
                <w:sz w:val="24"/>
              </w:rPr>
            </w:pPr>
            <w:r w:rsidRPr="00D30FCC">
              <w:rPr>
                <w:sz w:val="24"/>
              </w:rPr>
              <w:t xml:space="preserve">Monthly home visits are needed with the </w:t>
            </w:r>
            <w:proofErr w:type="gramStart"/>
            <w:r w:rsidRPr="00D30FCC">
              <w:rPr>
                <w:sz w:val="24"/>
              </w:rPr>
              <w:t>child(</w:t>
            </w:r>
            <w:proofErr w:type="spellStart"/>
            <w:proofErr w:type="gramEnd"/>
            <w:r w:rsidRPr="00D30FCC">
              <w:rPr>
                <w:sz w:val="24"/>
              </w:rPr>
              <w:t>ren</w:t>
            </w:r>
            <w:proofErr w:type="spellEnd"/>
            <w:r w:rsidRPr="00D30FCC">
              <w:rPr>
                <w:sz w:val="24"/>
              </w:rPr>
              <w:t>), parents and relative</w:t>
            </w:r>
            <w:r>
              <w:rPr>
                <w:sz w:val="24"/>
              </w:rPr>
              <w:t xml:space="preserve"> </w:t>
            </w:r>
            <w:r w:rsidRPr="00D30FCC">
              <w:rPr>
                <w:sz w:val="24"/>
              </w:rPr>
              <w:t xml:space="preserve">caregivers.  </w:t>
            </w:r>
          </w:p>
          <w:p w14:paraId="32987052" w14:textId="77777777" w:rsidR="008C5161" w:rsidRDefault="008C5161" w:rsidP="00BF39E4">
            <w:pPr>
              <w:pStyle w:val="Title"/>
              <w:rPr>
                <w:u w:val="single"/>
              </w:rPr>
            </w:pPr>
          </w:p>
        </w:tc>
      </w:tr>
      <w:tr w:rsidR="008C5161" w14:paraId="6286C20A" w14:textId="77777777" w:rsidTr="00BF39E4">
        <w:tc>
          <w:tcPr>
            <w:tcW w:w="1080" w:type="dxa"/>
          </w:tcPr>
          <w:p w14:paraId="01DE846A" w14:textId="77777777" w:rsidR="008C5161" w:rsidRPr="003E3815" w:rsidRDefault="008C5161" w:rsidP="00BF39E4">
            <w:pPr>
              <w:pStyle w:val="Title"/>
              <w:rPr>
                <w:color w:val="000000" w:themeColor="text1"/>
                <w:sz w:val="24"/>
              </w:rPr>
            </w:pPr>
            <w:r w:rsidRPr="003E3815">
              <w:rPr>
                <w:color w:val="000000" w:themeColor="text1"/>
                <w:sz w:val="24"/>
              </w:rPr>
              <w:fldChar w:fldCharType="begin">
                <w:ffData>
                  <w:name w:val="Check2"/>
                  <w:enabled/>
                  <w:calcOnExit w:val="0"/>
                  <w:checkBox>
                    <w:sizeAuto/>
                    <w:default w:val="0"/>
                  </w:checkBox>
                </w:ffData>
              </w:fldChar>
            </w:r>
            <w:r w:rsidRPr="003E3815">
              <w:rPr>
                <w:color w:val="000000" w:themeColor="text1"/>
                <w:sz w:val="24"/>
              </w:rPr>
              <w:instrText xml:space="preserve"> FORMCHECKBOX </w:instrText>
            </w:r>
            <w:r w:rsidRPr="003E3815">
              <w:rPr>
                <w:color w:val="000000" w:themeColor="text1"/>
                <w:sz w:val="24"/>
              </w:rPr>
            </w:r>
            <w:r w:rsidRPr="003E3815">
              <w:rPr>
                <w:color w:val="000000" w:themeColor="text1"/>
                <w:sz w:val="24"/>
              </w:rPr>
              <w:fldChar w:fldCharType="end"/>
            </w:r>
          </w:p>
        </w:tc>
        <w:tc>
          <w:tcPr>
            <w:tcW w:w="9540" w:type="dxa"/>
          </w:tcPr>
          <w:p w14:paraId="508A96CC" w14:textId="77777777" w:rsidR="008C5161" w:rsidRPr="003E3815" w:rsidRDefault="008C5161" w:rsidP="00BF39E4">
            <w:pPr>
              <w:pStyle w:val="Title"/>
              <w:numPr>
                <w:ilvl w:val="0"/>
                <w:numId w:val="2"/>
              </w:numPr>
              <w:jc w:val="left"/>
              <w:rPr>
                <w:color w:val="000000" w:themeColor="text1"/>
                <w:sz w:val="24"/>
              </w:rPr>
            </w:pPr>
            <w:r w:rsidRPr="003E3815">
              <w:rPr>
                <w:color w:val="000000" w:themeColor="text1"/>
                <w:sz w:val="24"/>
              </w:rPr>
              <w:t xml:space="preserve">Visits as needed, with parents and relative caregivers. </w:t>
            </w:r>
          </w:p>
          <w:p w14:paraId="6FC7E41B" w14:textId="77777777" w:rsidR="008C5161" w:rsidRPr="003E3815" w:rsidRDefault="008C5161" w:rsidP="00BF39E4">
            <w:pPr>
              <w:pStyle w:val="Title"/>
              <w:ind w:left="360"/>
              <w:jc w:val="left"/>
              <w:rPr>
                <w:color w:val="000000" w:themeColor="text1"/>
                <w:sz w:val="24"/>
              </w:rPr>
            </w:pPr>
          </w:p>
        </w:tc>
      </w:tr>
      <w:tr w:rsidR="008C5161" w14:paraId="466E32C0" w14:textId="77777777" w:rsidTr="00BF39E4">
        <w:tc>
          <w:tcPr>
            <w:tcW w:w="1080" w:type="dxa"/>
          </w:tcPr>
          <w:p w14:paraId="66CED891" w14:textId="77777777" w:rsidR="008C5161" w:rsidRDefault="008C5161" w:rsidP="00BF39E4">
            <w:pPr>
              <w:pStyle w:val="Title"/>
              <w:rPr>
                <w:u w:val="single"/>
              </w:rPr>
            </w:pPr>
            <w:r w:rsidRPr="00D30FCC">
              <w:rPr>
                <w:sz w:val="24"/>
              </w:rPr>
              <w:fldChar w:fldCharType="begin">
                <w:ffData>
                  <w:name w:val="Check2"/>
                  <w:enabled/>
                  <w:calcOnExit w:val="0"/>
                  <w:checkBox>
                    <w:sizeAuto/>
                    <w:default w:val="0"/>
                  </w:checkBox>
                </w:ffData>
              </w:fldChar>
            </w:r>
            <w:r w:rsidRPr="00D30FCC">
              <w:rPr>
                <w:sz w:val="24"/>
              </w:rPr>
              <w:instrText xml:space="preserve"> FORMCHECKBOX </w:instrText>
            </w:r>
            <w:r w:rsidRPr="00D30FCC">
              <w:rPr>
                <w:sz w:val="24"/>
              </w:rPr>
            </w:r>
            <w:r w:rsidRPr="00D30FCC">
              <w:rPr>
                <w:sz w:val="24"/>
              </w:rPr>
              <w:fldChar w:fldCharType="end"/>
            </w:r>
          </w:p>
        </w:tc>
        <w:tc>
          <w:tcPr>
            <w:tcW w:w="9540" w:type="dxa"/>
          </w:tcPr>
          <w:p w14:paraId="285711D6" w14:textId="78891B13" w:rsidR="008C5161" w:rsidRPr="00D30FCC" w:rsidRDefault="008C5161" w:rsidP="00BF39E4">
            <w:pPr>
              <w:pStyle w:val="Title"/>
              <w:numPr>
                <w:ilvl w:val="0"/>
                <w:numId w:val="2"/>
              </w:numPr>
              <w:jc w:val="left"/>
              <w:rPr>
                <w:sz w:val="24"/>
              </w:rPr>
            </w:pPr>
            <w:r w:rsidRPr="00D30FCC">
              <w:rPr>
                <w:sz w:val="24"/>
              </w:rPr>
              <w:t>Case planning occurs at the same intervals it does with any P&amp;P case.  The relat</w:t>
            </w:r>
            <w:r>
              <w:rPr>
                <w:sz w:val="24"/>
              </w:rPr>
              <w:t xml:space="preserve">ive </w:t>
            </w:r>
            <w:r w:rsidRPr="00D30FCC">
              <w:rPr>
                <w:sz w:val="24"/>
              </w:rPr>
              <w:t xml:space="preserve">caregivers should be included in both the </w:t>
            </w:r>
            <w:r w:rsidR="00B36036">
              <w:rPr>
                <w:sz w:val="24"/>
              </w:rPr>
              <w:t>assessment</w:t>
            </w:r>
            <w:bookmarkStart w:id="1" w:name="_GoBack"/>
            <w:bookmarkEnd w:id="1"/>
            <w:r w:rsidRPr="00D30FCC">
              <w:rPr>
                <w:sz w:val="24"/>
              </w:rPr>
              <w:t xml:space="preserve"> and the case plan.</w:t>
            </w:r>
            <w:r>
              <w:rPr>
                <w:sz w:val="24"/>
              </w:rPr>
              <w:t xml:space="preserve">  Relatives should be </w:t>
            </w:r>
            <w:r w:rsidRPr="00D30FCC">
              <w:rPr>
                <w:sz w:val="24"/>
              </w:rPr>
              <w:t>invited to case conferences and have identified tasks</w:t>
            </w:r>
            <w:r>
              <w:rPr>
                <w:sz w:val="24"/>
              </w:rPr>
              <w:t xml:space="preserve">.  </w:t>
            </w:r>
            <w:r w:rsidRPr="00D30FCC">
              <w:rPr>
                <w:sz w:val="24"/>
              </w:rPr>
              <w:t>Services needed to maintain the placement for the children should be discussed</w:t>
            </w:r>
            <w:r>
              <w:rPr>
                <w:sz w:val="24"/>
              </w:rPr>
              <w:t xml:space="preserve"> </w:t>
            </w:r>
            <w:r w:rsidRPr="00D30FCC">
              <w:rPr>
                <w:sz w:val="24"/>
              </w:rPr>
              <w:t>and addressed during case planning. If the child is in the temporary custody of the Cabinet, the out of home care section of the case plan (which includes the Child Youth Section) must be completed.</w:t>
            </w:r>
          </w:p>
          <w:p w14:paraId="2F540C72" w14:textId="77777777" w:rsidR="008C5161" w:rsidRDefault="008C5161" w:rsidP="00BF39E4">
            <w:pPr>
              <w:pStyle w:val="Title"/>
              <w:rPr>
                <w:u w:val="single"/>
              </w:rPr>
            </w:pPr>
          </w:p>
        </w:tc>
      </w:tr>
      <w:tr w:rsidR="008C5161" w14:paraId="29D3CC1B" w14:textId="77777777" w:rsidTr="00BF39E4">
        <w:tc>
          <w:tcPr>
            <w:tcW w:w="1080" w:type="dxa"/>
          </w:tcPr>
          <w:p w14:paraId="0C9DD894" w14:textId="77777777" w:rsidR="008C5161" w:rsidRDefault="008C5161" w:rsidP="00BF39E4">
            <w:pPr>
              <w:pStyle w:val="Title"/>
              <w:rPr>
                <w:u w:val="single"/>
              </w:rPr>
            </w:pPr>
            <w:r w:rsidRPr="00D30FCC">
              <w:rPr>
                <w:sz w:val="24"/>
              </w:rPr>
              <w:fldChar w:fldCharType="begin">
                <w:ffData>
                  <w:name w:val="Check2"/>
                  <w:enabled/>
                  <w:calcOnExit w:val="0"/>
                  <w:checkBox>
                    <w:sizeAuto/>
                    <w:default w:val="0"/>
                  </w:checkBox>
                </w:ffData>
              </w:fldChar>
            </w:r>
            <w:r w:rsidRPr="00D30FCC">
              <w:rPr>
                <w:sz w:val="24"/>
              </w:rPr>
              <w:instrText xml:space="preserve"> FORMCHECKBOX </w:instrText>
            </w:r>
            <w:r w:rsidRPr="00D30FCC">
              <w:rPr>
                <w:sz w:val="24"/>
              </w:rPr>
            </w:r>
            <w:r w:rsidRPr="00D30FCC">
              <w:rPr>
                <w:sz w:val="24"/>
              </w:rPr>
              <w:fldChar w:fldCharType="end"/>
            </w:r>
          </w:p>
        </w:tc>
        <w:tc>
          <w:tcPr>
            <w:tcW w:w="9540" w:type="dxa"/>
          </w:tcPr>
          <w:p w14:paraId="1E8A5DAA" w14:textId="725C25DA" w:rsidR="008C5161" w:rsidRPr="00D30FCC" w:rsidRDefault="008C5161" w:rsidP="00BF39E4">
            <w:pPr>
              <w:pStyle w:val="Title"/>
              <w:numPr>
                <w:ilvl w:val="0"/>
                <w:numId w:val="2"/>
              </w:numPr>
              <w:jc w:val="left"/>
              <w:rPr>
                <w:sz w:val="24"/>
              </w:rPr>
            </w:pPr>
            <w:r w:rsidRPr="00D30FCC">
              <w:rPr>
                <w:sz w:val="24"/>
              </w:rPr>
              <w:t xml:space="preserve">Parents of the </w:t>
            </w:r>
            <w:proofErr w:type="gramStart"/>
            <w:r w:rsidRPr="00D30FCC">
              <w:rPr>
                <w:sz w:val="24"/>
              </w:rPr>
              <w:t>child(</w:t>
            </w:r>
            <w:proofErr w:type="spellStart"/>
            <w:proofErr w:type="gramEnd"/>
            <w:r w:rsidRPr="00D30FCC">
              <w:rPr>
                <w:sz w:val="24"/>
              </w:rPr>
              <w:t>ren</w:t>
            </w:r>
            <w:proofErr w:type="spellEnd"/>
            <w:r w:rsidRPr="00D30FCC">
              <w:rPr>
                <w:sz w:val="24"/>
              </w:rPr>
              <w:t>) cannot reside in the relative’s home with the child in</w:t>
            </w:r>
            <w:r>
              <w:rPr>
                <w:sz w:val="24"/>
              </w:rPr>
              <w:t xml:space="preserve"> </w:t>
            </w:r>
            <w:r w:rsidRPr="00D30FCC">
              <w:rPr>
                <w:sz w:val="24"/>
              </w:rPr>
              <w:t>order for kinship care to continue.</w:t>
            </w:r>
          </w:p>
          <w:p w14:paraId="3D380991" w14:textId="77777777" w:rsidR="008C5161" w:rsidRDefault="008C5161" w:rsidP="00BF39E4">
            <w:pPr>
              <w:pStyle w:val="Title"/>
              <w:rPr>
                <w:u w:val="single"/>
              </w:rPr>
            </w:pPr>
          </w:p>
        </w:tc>
      </w:tr>
      <w:tr w:rsidR="008C5161" w14:paraId="52AF86E2" w14:textId="77777777" w:rsidTr="00BF39E4">
        <w:tc>
          <w:tcPr>
            <w:tcW w:w="1080" w:type="dxa"/>
          </w:tcPr>
          <w:p w14:paraId="3D49E5C6" w14:textId="77777777" w:rsidR="008C5161" w:rsidRDefault="008C5161" w:rsidP="00BF39E4">
            <w:pPr>
              <w:pStyle w:val="Title"/>
              <w:rPr>
                <w:u w:val="single"/>
              </w:rPr>
            </w:pPr>
            <w:r w:rsidRPr="00D30FCC">
              <w:rPr>
                <w:sz w:val="24"/>
              </w:rPr>
              <w:fldChar w:fldCharType="begin">
                <w:ffData>
                  <w:name w:val="Check2"/>
                  <w:enabled/>
                  <w:calcOnExit w:val="0"/>
                  <w:checkBox>
                    <w:sizeAuto/>
                    <w:default w:val="0"/>
                  </w:checkBox>
                </w:ffData>
              </w:fldChar>
            </w:r>
            <w:r w:rsidRPr="00D30FCC">
              <w:rPr>
                <w:sz w:val="24"/>
              </w:rPr>
              <w:instrText xml:space="preserve"> FORMCHECKBOX </w:instrText>
            </w:r>
            <w:r w:rsidRPr="00D30FCC">
              <w:rPr>
                <w:sz w:val="24"/>
              </w:rPr>
            </w:r>
            <w:r w:rsidRPr="00D30FCC">
              <w:rPr>
                <w:sz w:val="24"/>
              </w:rPr>
              <w:fldChar w:fldCharType="end"/>
            </w:r>
          </w:p>
        </w:tc>
        <w:tc>
          <w:tcPr>
            <w:tcW w:w="9540" w:type="dxa"/>
          </w:tcPr>
          <w:p w14:paraId="5700BF16" w14:textId="11017BBE" w:rsidR="008C5161" w:rsidRPr="00D30FCC" w:rsidRDefault="008C5161" w:rsidP="00BF39E4">
            <w:pPr>
              <w:pStyle w:val="Title"/>
              <w:numPr>
                <w:ilvl w:val="0"/>
                <w:numId w:val="2"/>
              </w:numPr>
              <w:jc w:val="left"/>
              <w:rPr>
                <w:sz w:val="24"/>
              </w:rPr>
            </w:pPr>
            <w:r w:rsidRPr="00D30FCC">
              <w:rPr>
                <w:sz w:val="24"/>
              </w:rPr>
              <w:t>Continue to assist the relative in planning for permanent custody, should it be</w:t>
            </w:r>
            <w:r>
              <w:rPr>
                <w:sz w:val="24"/>
              </w:rPr>
              <w:t xml:space="preserve"> </w:t>
            </w:r>
            <w:r w:rsidRPr="00D30FCC">
              <w:rPr>
                <w:sz w:val="24"/>
              </w:rPr>
              <w:t xml:space="preserve">needed, within </w:t>
            </w:r>
            <w:r>
              <w:rPr>
                <w:sz w:val="24"/>
              </w:rPr>
              <w:t>twelve (</w:t>
            </w:r>
            <w:r w:rsidRPr="00D30FCC">
              <w:rPr>
                <w:sz w:val="24"/>
              </w:rPr>
              <w:t>12</w:t>
            </w:r>
            <w:r>
              <w:rPr>
                <w:sz w:val="24"/>
              </w:rPr>
              <w:t>)</w:t>
            </w:r>
            <w:r w:rsidRPr="00D30FCC">
              <w:rPr>
                <w:sz w:val="24"/>
              </w:rPr>
              <w:t xml:space="preserve"> months of the placement of the child (this might include</w:t>
            </w:r>
            <w:r>
              <w:rPr>
                <w:sz w:val="24"/>
              </w:rPr>
              <w:t xml:space="preserve"> </w:t>
            </w:r>
            <w:r w:rsidRPr="00D30FCC">
              <w:rPr>
                <w:sz w:val="24"/>
              </w:rPr>
              <w:t>scheduling the case in Court for permanent custody, or ensuring the relatives</w:t>
            </w:r>
            <w:r>
              <w:rPr>
                <w:sz w:val="24"/>
              </w:rPr>
              <w:t xml:space="preserve"> </w:t>
            </w:r>
            <w:r w:rsidRPr="00D30FCC">
              <w:rPr>
                <w:sz w:val="24"/>
              </w:rPr>
              <w:t>see</w:t>
            </w:r>
            <w:r>
              <w:rPr>
                <w:sz w:val="24"/>
              </w:rPr>
              <w:t>k permanent custody in circuit court if j</w:t>
            </w:r>
            <w:r w:rsidRPr="00D30FCC">
              <w:rPr>
                <w:sz w:val="24"/>
              </w:rPr>
              <w:t>uve</w:t>
            </w:r>
            <w:r>
              <w:rPr>
                <w:sz w:val="24"/>
              </w:rPr>
              <w:t>nile c</w:t>
            </w:r>
            <w:r w:rsidRPr="00D30FCC">
              <w:rPr>
                <w:sz w:val="24"/>
              </w:rPr>
              <w:t>ourt does not order it etc.)</w:t>
            </w:r>
            <w:r>
              <w:rPr>
                <w:sz w:val="24"/>
              </w:rPr>
              <w:br/>
            </w:r>
          </w:p>
        </w:tc>
      </w:tr>
      <w:tr w:rsidR="008C5161" w14:paraId="127AD800" w14:textId="77777777" w:rsidTr="00BF39E4">
        <w:tc>
          <w:tcPr>
            <w:tcW w:w="1080" w:type="dxa"/>
          </w:tcPr>
          <w:p w14:paraId="32D6686A" w14:textId="77777777" w:rsidR="008C5161" w:rsidRDefault="008C5161" w:rsidP="00BF39E4">
            <w:pPr>
              <w:pStyle w:val="Title"/>
              <w:rPr>
                <w:u w:val="single"/>
              </w:rPr>
            </w:pPr>
            <w:r w:rsidRPr="00D30FCC">
              <w:rPr>
                <w:sz w:val="24"/>
              </w:rPr>
              <w:fldChar w:fldCharType="begin">
                <w:ffData>
                  <w:name w:val="Check2"/>
                  <w:enabled/>
                  <w:calcOnExit w:val="0"/>
                  <w:checkBox>
                    <w:sizeAuto/>
                    <w:default w:val="0"/>
                  </w:checkBox>
                </w:ffData>
              </w:fldChar>
            </w:r>
            <w:r w:rsidRPr="00D30FCC">
              <w:rPr>
                <w:sz w:val="24"/>
              </w:rPr>
              <w:instrText xml:space="preserve"> FORMCHECKBOX </w:instrText>
            </w:r>
            <w:r w:rsidRPr="00D30FCC">
              <w:rPr>
                <w:sz w:val="24"/>
              </w:rPr>
            </w:r>
            <w:r w:rsidRPr="00D30FCC">
              <w:rPr>
                <w:sz w:val="24"/>
              </w:rPr>
              <w:fldChar w:fldCharType="end"/>
            </w:r>
          </w:p>
        </w:tc>
        <w:tc>
          <w:tcPr>
            <w:tcW w:w="9540" w:type="dxa"/>
          </w:tcPr>
          <w:p w14:paraId="66707BF4" w14:textId="40D36277" w:rsidR="008C5161" w:rsidRPr="00AB3B19" w:rsidRDefault="008C5161" w:rsidP="00BF39E4">
            <w:pPr>
              <w:pStyle w:val="Title"/>
              <w:numPr>
                <w:ilvl w:val="0"/>
                <w:numId w:val="2"/>
              </w:numPr>
              <w:jc w:val="left"/>
              <w:rPr>
                <w:sz w:val="24"/>
              </w:rPr>
            </w:pPr>
            <w:r w:rsidRPr="00D30FCC">
              <w:rPr>
                <w:sz w:val="24"/>
              </w:rPr>
              <w:t>If the child moves to another placement such as a PCC, foster care etc., kinship</w:t>
            </w:r>
            <w:r>
              <w:rPr>
                <w:sz w:val="24"/>
              </w:rPr>
              <w:t xml:space="preserve"> </w:t>
            </w:r>
            <w:r w:rsidRPr="00AB3B19">
              <w:rPr>
                <w:sz w:val="24"/>
              </w:rPr>
              <w:t>care payments are discontinued.  The benefits can be reinstated once the child returns to the relative’s home.  Children should not be moved from one relative</w:t>
            </w:r>
            <w:r>
              <w:rPr>
                <w:sz w:val="24"/>
              </w:rPr>
              <w:t xml:space="preserve"> </w:t>
            </w:r>
            <w:r w:rsidRPr="00AB3B19">
              <w:rPr>
                <w:sz w:val="24"/>
              </w:rPr>
              <w:t xml:space="preserve">to another without a legitimate reason. </w:t>
            </w:r>
            <w:r>
              <w:rPr>
                <w:sz w:val="24"/>
              </w:rPr>
              <w:t xml:space="preserve"> In order for kinship c</w:t>
            </w:r>
            <w:r w:rsidRPr="00AB3B19">
              <w:rPr>
                <w:sz w:val="24"/>
              </w:rPr>
              <w:t>are benefits to follow the child</w:t>
            </w:r>
            <w:proofErr w:type="gramStart"/>
            <w:r w:rsidRPr="00AB3B19">
              <w:rPr>
                <w:sz w:val="24"/>
              </w:rPr>
              <w:t>,  P</w:t>
            </w:r>
            <w:proofErr w:type="gramEnd"/>
            <w:r w:rsidRPr="00AB3B19">
              <w:rPr>
                <w:sz w:val="24"/>
              </w:rPr>
              <w:t xml:space="preserve">&amp;P staff must be involved in this move and it must be related to the illness, death or military service of the caregiver.  </w:t>
            </w:r>
          </w:p>
          <w:p w14:paraId="04502A7E" w14:textId="77777777" w:rsidR="008C5161" w:rsidRDefault="008C5161" w:rsidP="00BF39E4">
            <w:pPr>
              <w:pStyle w:val="Title"/>
              <w:rPr>
                <w:u w:val="single"/>
              </w:rPr>
            </w:pPr>
          </w:p>
        </w:tc>
      </w:tr>
      <w:tr w:rsidR="008C5161" w14:paraId="6D8133A3" w14:textId="77777777" w:rsidTr="00BF39E4">
        <w:tc>
          <w:tcPr>
            <w:tcW w:w="1080" w:type="dxa"/>
          </w:tcPr>
          <w:p w14:paraId="0DBD42A2" w14:textId="77777777" w:rsidR="008C5161" w:rsidRDefault="008C5161" w:rsidP="00BF39E4">
            <w:pPr>
              <w:pStyle w:val="Title"/>
              <w:rPr>
                <w:u w:val="single"/>
              </w:rPr>
            </w:pPr>
            <w:r w:rsidRPr="00D30FCC">
              <w:rPr>
                <w:sz w:val="24"/>
              </w:rPr>
              <w:fldChar w:fldCharType="begin">
                <w:ffData>
                  <w:name w:val="Check2"/>
                  <w:enabled/>
                  <w:calcOnExit w:val="0"/>
                  <w:checkBox>
                    <w:sizeAuto/>
                    <w:default w:val="0"/>
                  </w:checkBox>
                </w:ffData>
              </w:fldChar>
            </w:r>
            <w:r w:rsidRPr="00D30FCC">
              <w:rPr>
                <w:sz w:val="24"/>
              </w:rPr>
              <w:instrText xml:space="preserve"> FORMCHECKBOX </w:instrText>
            </w:r>
            <w:r w:rsidRPr="00D30FCC">
              <w:rPr>
                <w:sz w:val="24"/>
              </w:rPr>
            </w:r>
            <w:r w:rsidRPr="00D30FCC">
              <w:rPr>
                <w:sz w:val="24"/>
              </w:rPr>
              <w:fldChar w:fldCharType="end"/>
            </w:r>
          </w:p>
        </w:tc>
        <w:tc>
          <w:tcPr>
            <w:tcW w:w="9540" w:type="dxa"/>
          </w:tcPr>
          <w:p w14:paraId="30B1F108" w14:textId="7EC9EE5E" w:rsidR="008C5161" w:rsidRPr="00AB3B19" w:rsidRDefault="008C5161" w:rsidP="00BF39E4">
            <w:pPr>
              <w:pStyle w:val="Title"/>
              <w:numPr>
                <w:ilvl w:val="0"/>
                <w:numId w:val="2"/>
              </w:numPr>
              <w:jc w:val="left"/>
              <w:rPr>
                <w:sz w:val="24"/>
              </w:rPr>
            </w:pPr>
            <w:r w:rsidRPr="00D30FCC">
              <w:rPr>
                <w:sz w:val="24"/>
              </w:rPr>
              <w:t xml:space="preserve">A kinship care case is closed </w:t>
            </w:r>
            <w:r w:rsidRPr="00D30FCC">
              <w:rPr>
                <w:b/>
                <w:sz w:val="24"/>
                <w:u w:val="single"/>
              </w:rPr>
              <w:t>only</w:t>
            </w:r>
            <w:r w:rsidRPr="00D30FCC">
              <w:rPr>
                <w:sz w:val="24"/>
              </w:rPr>
              <w:t xml:space="preserve"> after permanent custody of the child is </w:t>
            </w:r>
            <w:r w:rsidRPr="00AB3B19">
              <w:rPr>
                <w:sz w:val="24"/>
              </w:rPr>
              <w:t>obtained by the relative.  An aftercare plan is completed to address the need</w:t>
            </w:r>
            <w:r>
              <w:rPr>
                <w:sz w:val="24"/>
              </w:rPr>
              <w:t xml:space="preserve"> </w:t>
            </w:r>
            <w:r w:rsidRPr="00AB3B19">
              <w:rPr>
                <w:sz w:val="24"/>
              </w:rPr>
              <w:t>for the relatives to complete their yearly re-certification with Family Support in order to continue to remain eligible.  Items such as visitation with the parents</w:t>
            </w:r>
            <w:r>
              <w:rPr>
                <w:sz w:val="24"/>
              </w:rPr>
              <w:t xml:space="preserve"> </w:t>
            </w:r>
            <w:r w:rsidRPr="00AB3B19">
              <w:rPr>
                <w:sz w:val="24"/>
              </w:rPr>
              <w:t>should be negotiated (i</w:t>
            </w:r>
            <w:r>
              <w:rPr>
                <w:sz w:val="24"/>
              </w:rPr>
              <w:t>f not already addressed by the c</w:t>
            </w:r>
            <w:r w:rsidRPr="00AB3B19">
              <w:rPr>
                <w:sz w:val="24"/>
              </w:rPr>
              <w:t>ourt, which is always a</w:t>
            </w:r>
            <w:r>
              <w:rPr>
                <w:sz w:val="24"/>
              </w:rPr>
              <w:t xml:space="preserve"> </w:t>
            </w:r>
            <w:r w:rsidRPr="00AB3B19">
              <w:rPr>
                <w:sz w:val="24"/>
              </w:rPr>
              <w:t xml:space="preserve">good thing) or any other safety issues that need to be in place for the </w:t>
            </w:r>
            <w:proofErr w:type="gramStart"/>
            <w:r w:rsidRPr="00AB3B19">
              <w:rPr>
                <w:sz w:val="24"/>
              </w:rPr>
              <w:t>child(</w:t>
            </w:r>
            <w:proofErr w:type="spellStart"/>
            <w:proofErr w:type="gramEnd"/>
            <w:r w:rsidRPr="00AB3B19">
              <w:rPr>
                <w:sz w:val="24"/>
              </w:rPr>
              <w:t>ren</w:t>
            </w:r>
            <w:proofErr w:type="spellEnd"/>
            <w:r w:rsidRPr="00AB3B19">
              <w:rPr>
                <w:sz w:val="24"/>
              </w:rPr>
              <w:t>).</w:t>
            </w:r>
          </w:p>
          <w:p w14:paraId="357891E1" w14:textId="77777777" w:rsidR="008C5161" w:rsidRDefault="008C5161" w:rsidP="00BF39E4">
            <w:pPr>
              <w:pStyle w:val="Title"/>
              <w:rPr>
                <w:u w:val="single"/>
              </w:rPr>
            </w:pPr>
          </w:p>
        </w:tc>
      </w:tr>
    </w:tbl>
    <w:p w14:paraId="6B91B5B7" w14:textId="29D83EF8" w:rsidR="00D30FCC" w:rsidRPr="008C5161" w:rsidRDefault="00862609" w:rsidP="008C5161">
      <w:r w:rsidRPr="008C5161">
        <w:t xml:space="preserve"> </w:t>
      </w:r>
    </w:p>
    <w:sectPr w:rsidR="00D30FCC" w:rsidRPr="008C5161" w:rsidSect="00AB3B19">
      <w:headerReference w:type="first" r:id="rId12"/>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1B5BA" w14:textId="77777777" w:rsidR="00BF6E00" w:rsidRPr="00AB3B19" w:rsidRDefault="00BF6E00" w:rsidP="00AB3B19">
      <w:r>
        <w:separator/>
      </w:r>
    </w:p>
  </w:endnote>
  <w:endnote w:type="continuationSeparator" w:id="0">
    <w:p w14:paraId="6B91B5BB" w14:textId="77777777" w:rsidR="00BF6E00" w:rsidRPr="00AB3B19" w:rsidRDefault="00BF6E00" w:rsidP="00AB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1B5B8" w14:textId="77777777" w:rsidR="00BF6E00" w:rsidRPr="00AB3B19" w:rsidRDefault="00BF6E00" w:rsidP="00AB3B19">
      <w:r>
        <w:separator/>
      </w:r>
    </w:p>
  </w:footnote>
  <w:footnote w:type="continuationSeparator" w:id="0">
    <w:p w14:paraId="6B91B5B9" w14:textId="77777777" w:rsidR="00BF6E00" w:rsidRPr="00AB3B19" w:rsidRDefault="00BF6E00" w:rsidP="00AB3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8D705" w14:textId="77777777" w:rsidR="008C5161" w:rsidRPr="003E3815" w:rsidRDefault="008C5161" w:rsidP="008C5161">
    <w:pPr>
      <w:pStyle w:val="Title"/>
      <w:rPr>
        <w:b/>
        <w:color w:val="000000" w:themeColor="text1"/>
        <w:u w:val="single"/>
      </w:rPr>
    </w:pPr>
    <w:r>
      <w:rPr>
        <w:u w:val="single"/>
      </w:rPr>
      <w:t>ONGOING WORKER’S CHECKLIST FOR KINSHIP CARE</w:t>
    </w:r>
    <w:r w:rsidRPr="003E3815">
      <w:rPr>
        <w:color w:val="000000" w:themeColor="text1"/>
        <w:u w:val="single"/>
      </w:rPr>
      <w:t>-For Approvals Prior to April 1, 2013</w:t>
    </w:r>
  </w:p>
  <w:p w14:paraId="6B91B5C1" w14:textId="77777777" w:rsidR="00AB3B19" w:rsidRDefault="00AB3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421B38FD"/>
    <w:multiLevelType w:val="hybridMultilevel"/>
    <w:tmpl w:val="FD14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15EF9"/>
    <w:rsid w:val="00097E1C"/>
    <w:rsid w:val="001C7754"/>
    <w:rsid w:val="003465AC"/>
    <w:rsid w:val="003E3815"/>
    <w:rsid w:val="007015C5"/>
    <w:rsid w:val="00862609"/>
    <w:rsid w:val="008C5161"/>
    <w:rsid w:val="0094315C"/>
    <w:rsid w:val="00AB3B19"/>
    <w:rsid w:val="00AB77EA"/>
    <w:rsid w:val="00B15EF9"/>
    <w:rsid w:val="00B36036"/>
    <w:rsid w:val="00B3789F"/>
    <w:rsid w:val="00BF6E00"/>
    <w:rsid w:val="00D3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1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77EA"/>
    <w:pPr>
      <w:jc w:val="center"/>
    </w:pPr>
    <w:rPr>
      <w:sz w:val="28"/>
    </w:rPr>
  </w:style>
  <w:style w:type="character" w:styleId="CommentReference">
    <w:name w:val="annotation reference"/>
    <w:basedOn w:val="DefaultParagraphFont"/>
    <w:uiPriority w:val="99"/>
    <w:semiHidden/>
    <w:unhideWhenUsed/>
    <w:rsid w:val="00B15EF9"/>
    <w:rPr>
      <w:sz w:val="16"/>
      <w:szCs w:val="16"/>
    </w:rPr>
  </w:style>
  <w:style w:type="paragraph" w:styleId="CommentText">
    <w:name w:val="annotation text"/>
    <w:basedOn w:val="Normal"/>
    <w:link w:val="CommentTextChar"/>
    <w:uiPriority w:val="99"/>
    <w:semiHidden/>
    <w:unhideWhenUsed/>
    <w:rsid w:val="00B15EF9"/>
  </w:style>
  <w:style w:type="character" w:customStyle="1" w:styleId="CommentTextChar">
    <w:name w:val="Comment Text Char"/>
    <w:basedOn w:val="DefaultParagraphFont"/>
    <w:link w:val="CommentText"/>
    <w:uiPriority w:val="99"/>
    <w:semiHidden/>
    <w:rsid w:val="00B15EF9"/>
  </w:style>
  <w:style w:type="paragraph" w:styleId="CommentSubject">
    <w:name w:val="annotation subject"/>
    <w:basedOn w:val="CommentText"/>
    <w:next w:val="CommentText"/>
    <w:link w:val="CommentSubjectChar"/>
    <w:uiPriority w:val="99"/>
    <w:semiHidden/>
    <w:unhideWhenUsed/>
    <w:rsid w:val="00B15EF9"/>
    <w:rPr>
      <w:b/>
      <w:bCs/>
    </w:rPr>
  </w:style>
  <w:style w:type="character" w:customStyle="1" w:styleId="CommentSubjectChar">
    <w:name w:val="Comment Subject Char"/>
    <w:basedOn w:val="CommentTextChar"/>
    <w:link w:val="CommentSubject"/>
    <w:uiPriority w:val="99"/>
    <w:semiHidden/>
    <w:rsid w:val="00B15EF9"/>
    <w:rPr>
      <w:b/>
      <w:bCs/>
    </w:rPr>
  </w:style>
  <w:style w:type="paragraph" w:styleId="BalloonText">
    <w:name w:val="Balloon Text"/>
    <w:basedOn w:val="Normal"/>
    <w:link w:val="BalloonTextChar"/>
    <w:uiPriority w:val="99"/>
    <w:semiHidden/>
    <w:unhideWhenUsed/>
    <w:rsid w:val="00B15EF9"/>
    <w:rPr>
      <w:rFonts w:ascii="Tahoma" w:hAnsi="Tahoma" w:cs="Tahoma"/>
      <w:sz w:val="16"/>
      <w:szCs w:val="16"/>
    </w:rPr>
  </w:style>
  <w:style w:type="character" w:customStyle="1" w:styleId="BalloonTextChar">
    <w:name w:val="Balloon Text Char"/>
    <w:basedOn w:val="DefaultParagraphFont"/>
    <w:link w:val="BalloonText"/>
    <w:uiPriority w:val="99"/>
    <w:semiHidden/>
    <w:rsid w:val="00B15EF9"/>
    <w:rPr>
      <w:rFonts w:ascii="Tahoma" w:hAnsi="Tahoma" w:cs="Tahoma"/>
      <w:sz w:val="16"/>
      <w:szCs w:val="16"/>
    </w:rPr>
  </w:style>
  <w:style w:type="table" w:styleId="TableGrid">
    <w:name w:val="Table Grid"/>
    <w:basedOn w:val="TableNormal"/>
    <w:uiPriority w:val="59"/>
    <w:rsid w:val="00D30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3B19"/>
    <w:pPr>
      <w:tabs>
        <w:tab w:val="center" w:pos="4680"/>
        <w:tab w:val="right" w:pos="9360"/>
      </w:tabs>
    </w:pPr>
  </w:style>
  <w:style w:type="character" w:customStyle="1" w:styleId="HeaderChar">
    <w:name w:val="Header Char"/>
    <w:basedOn w:val="DefaultParagraphFont"/>
    <w:link w:val="Header"/>
    <w:uiPriority w:val="99"/>
    <w:rsid w:val="00AB3B19"/>
  </w:style>
  <w:style w:type="paragraph" w:styleId="Footer">
    <w:name w:val="footer"/>
    <w:basedOn w:val="Normal"/>
    <w:link w:val="FooterChar"/>
    <w:uiPriority w:val="99"/>
    <w:unhideWhenUsed/>
    <w:rsid w:val="00AB3B19"/>
    <w:pPr>
      <w:tabs>
        <w:tab w:val="center" w:pos="4680"/>
        <w:tab w:val="right" w:pos="9360"/>
      </w:tabs>
    </w:pPr>
  </w:style>
  <w:style w:type="character" w:customStyle="1" w:styleId="FooterChar">
    <w:name w:val="Footer Char"/>
    <w:basedOn w:val="DefaultParagraphFont"/>
    <w:link w:val="Footer"/>
    <w:uiPriority w:val="99"/>
    <w:rsid w:val="00AB3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2014</Document_x0020_Year>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OP Unnumbered Form" ma:contentTypeID="0x010100127F0E5EED23B64B835EF3F44A08336600AB9E67320D48684F8106052C7E6CBED1" ma:contentTypeVersion="20" ma:contentTypeDescription="" ma:contentTypeScope="" ma:versionID="dcd08fc84dc19a4f2a7802bd909309cb">
  <xsd:schema xmlns:xsd="http://www.w3.org/2001/XMLSchema" xmlns:xs="http://www.w3.org/2001/XMLSchema" xmlns:p="http://schemas.microsoft.com/office/2006/metadata/properties" xmlns:ns1="http://schemas.microsoft.com/sharepoint/v3" xmlns:ns2="65b60e10-1d1f-48db-8ed9-28ba608457d0" xmlns:ns3="c909097a-6b9c-48e5-8798-11afeb7bd88b" targetNamespace="http://schemas.microsoft.com/office/2006/metadata/properties" ma:root="true" ma:fieldsID="ffaf54ce49479052b89da2253c93c1d3" ns1:_="" ns2:_="" ns3:_="">
    <xsd:import namespace="http://schemas.microsoft.com/sharepoint/v3"/>
    <xsd:import namespace="65b60e10-1d1f-48db-8ed9-28ba608457d0"/>
    <xsd:import namespace="c909097a-6b9c-48e5-8798-11afeb7bd88b"/>
    <xsd:element name="properties">
      <xsd:complexType>
        <xsd:sequence>
          <xsd:element name="documentManagement">
            <xsd:complexType>
              <xsd:all>
                <xsd:element ref="ns2:sopFormDate"/>
                <xsd:element ref="ns1:Language"/>
                <xsd:element ref="ns3:sopFormGroup"/>
                <xsd:element ref="ns3:sopFor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5b60e10-1d1f-48db-8ed9-28ba608457d0" elementFormDefault="qualified">
    <xsd:import namespace="http://schemas.microsoft.com/office/2006/documentManagement/types"/>
    <xsd:import namespace="http://schemas.microsoft.com/office/infopath/2007/PartnerControls"/>
    <xsd:element name="sopFormDate" ma:index="2" ma:displayName="Form Date" ma:default="[today]" ma:format="DateOnly" ma:internalName="sopForm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09097a-6b9c-48e5-8798-11afeb7bd88b" elementFormDefault="qualified">
    <xsd:import namespace="http://schemas.microsoft.com/office/2006/documentManagement/types"/>
    <xsd:import namespace="http://schemas.microsoft.com/office/infopath/2007/PartnerControls"/>
    <xsd:element name="sopFormGroup" ma:index="10" ma:displayName="Form Group" ma:list="{663164ef-486d-448b-af36-56816da75125}" ma:internalName="sopFormGroup" ma:readOnly="false" ma:showField="Title">
      <xsd:simpleType>
        <xsd:restriction base="dms:Lookup"/>
      </xsd:simpleType>
    </xsd:element>
    <xsd:element name="sopFormTags" ma:index="11" nillable="true" ma:displayName="Form Tags" ma:list="{31a23525-d785-421f-bbcf-d2f839a13d64}" ma:internalName="sopFormTag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789E2-D793-4FAF-B1CD-231205E14DA8}"/>
</file>

<file path=customXml/itemProps2.xml><?xml version="1.0" encoding="utf-8"?>
<ds:datastoreItem xmlns:ds="http://schemas.openxmlformats.org/officeDocument/2006/customXml" ds:itemID="{A4792116-7D09-4538-A60C-CBBCBC803F79}"/>
</file>

<file path=customXml/itemProps3.xml><?xml version="1.0" encoding="utf-8"?>
<ds:datastoreItem xmlns:ds="http://schemas.openxmlformats.org/officeDocument/2006/customXml" ds:itemID="{D3F50C87-A6F3-4DF7-9860-7FBFEEB0B9E5}"/>
</file>

<file path=customXml/itemProps4.xml><?xml version="1.0" encoding="utf-8"?>
<ds:datastoreItem xmlns:ds="http://schemas.openxmlformats.org/officeDocument/2006/customXml" ds:itemID="{3CC88231-4D5C-4A0B-A181-76242E922727}"/>
</file>

<file path=docProps/app.xml><?xml version="1.0" encoding="utf-8"?>
<Properties xmlns="http://schemas.openxmlformats.org/officeDocument/2006/extended-properties" xmlns:vt="http://schemas.openxmlformats.org/officeDocument/2006/docPropsVTypes">
  <Template>Normal</Template>
  <TotalTime>5</TotalTime>
  <Pages>1</Pages>
  <Words>447</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 ONGOING WORKER’S CHECKLIST FOR KINSHIP CARE</vt:lpstr>
    </vt:vector>
  </TitlesOfParts>
  <Company>OTS</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Ongoing Workers Checklist for Kinship Care-For Approvals Prior to April 1, 2013</dc:title>
  <dc:creator>Lisa.Durbin</dc:creator>
  <cp:lastModifiedBy>sarah.cooper</cp:lastModifiedBy>
  <cp:revision>7</cp:revision>
  <dcterms:created xsi:type="dcterms:W3CDTF">2012-03-09T18:51:00Z</dcterms:created>
  <dcterms:modified xsi:type="dcterms:W3CDTF">2014-01-09T19:52:00Z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sopFormNumberSort">
    <vt:r8>0</vt:r8>
  </property>
  <property fmtid="{D5CDD505-2E9C-101B-9397-08002B2CF9AE}" pid="4" name="sopFormNameDisplay">
    <vt:lpwstr>0</vt:lpwstr>
  </property>
  <property fmtid="{D5CDD505-2E9C-101B-9397-08002B2CF9AE}" pid="5" name="Order">
    <vt:r8>1900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y fmtid="{D5CDD505-2E9C-101B-9397-08002B2CF9AE}" pid="11" name="Archived">
    <vt:bool>false</vt:bool>
  </property>
  <property fmtid="{D5CDD505-2E9C-101B-9397-08002B2CF9AE}" pid="15" name="Types">
    <vt:lpwstr>Document</vt:lpwstr>
  </property>
  <property fmtid="{D5CDD505-2E9C-101B-9397-08002B2CF9AE}" pid="16" name="Document Year">
    <vt:lpwstr>2014</vt:lpwstr>
  </property>
</Properties>
</file>